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张媛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基于大数据分析的财务管理系统软件开发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杭州和众天下新能源有限公司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12EF3E8-C891-4FF2-9910-5CE2A34A9E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CCE376-D168-43EF-A1F3-4D3AEF31E8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2BA5116-3E73-42DB-82F5-BB53282D68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1AB7903"/>
    <w:rsid w:val="13914AED"/>
    <w:rsid w:val="192A53B4"/>
    <w:rsid w:val="208615D1"/>
    <w:rsid w:val="2BC127E4"/>
    <w:rsid w:val="365F4CE1"/>
    <w:rsid w:val="48A62558"/>
    <w:rsid w:val="4CE65929"/>
    <w:rsid w:val="508825A3"/>
    <w:rsid w:val="575431DF"/>
    <w:rsid w:val="59B80C41"/>
    <w:rsid w:val="5C976331"/>
    <w:rsid w:val="64947310"/>
    <w:rsid w:val="64AF5787"/>
    <w:rsid w:val="672876DB"/>
    <w:rsid w:val="6DD2507B"/>
    <w:rsid w:val="72100E40"/>
    <w:rsid w:val="77A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18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2024-07-25T05:25:18Z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5F0D4B269DE34C33BCFB219AA71B5ABD_13</vt:lpwstr>
  </property>
</Properties>
</file>