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潘静波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数字素养与家庭金融资产配置——基于杭州居民微观数据分析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2019.6-2020.6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设计及实施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0.1988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0.1988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hint="eastAsia" w:ascii="仿宋_GB2312"/>
          <w:sz w:val="24"/>
        </w:rPr>
      </w:pPr>
    </w:p>
    <w:p>
      <w:pPr>
        <w:spacing w:after="156" w:afterLines="50"/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E232E0A-0C6E-4BC3-8773-2AC6C71485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2C955E-C9F1-4472-B297-1A57AE2522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51EAD7-517F-4760-947D-6E6A204127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e744fb1-e3d4-4127-92c1-73934b85204c"/>
  </w:docVars>
  <w:rsids>
    <w:rsidRoot w:val="1720595C"/>
    <w:rsid w:val="133B0E10"/>
    <w:rsid w:val="1720595C"/>
    <w:rsid w:val="2486086A"/>
    <w:rsid w:val="26C51EBE"/>
    <w:rsid w:val="3C651273"/>
    <w:rsid w:val="3E115680"/>
    <w:rsid w:val="45A27992"/>
    <w:rsid w:val="535F3DBE"/>
    <w:rsid w:val="540A3EEE"/>
    <w:rsid w:val="79A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385</Characters>
  <Lines>0</Lines>
  <Paragraphs>0</Paragraphs>
  <TotalTime>8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2024-01-15T11:36:00Z</dcterms:created>
  <dc:creator>潘静波</dc:creator>
  <cp:lastModifiedBy>一舟</cp:lastModifiedBy>
  <dcterms:modified xsi:type="dcterms:W3CDTF">2024-01-31T04:32:20Z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0579227CD4A14BD4878213D109D7A69D_11</vt:lpwstr>
  </property>
</Properties>
</file>